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A7334" w14:textId="71118AEE" w:rsidR="00BD0AD9" w:rsidRPr="00F13720" w:rsidRDefault="008A0898" w:rsidP="00F13720">
      <w:pPr>
        <w:jc w:val="center"/>
        <w:rPr>
          <w:rFonts w:ascii="Source Serif Pro Light" w:hAnsi="Source Serif Pro Light" w:cs="Arial"/>
          <w:b/>
          <w:color w:val="B98D46"/>
          <w:sz w:val="36"/>
          <w:szCs w:val="36"/>
        </w:rPr>
      </w:pPr>
      <w:r w:rsidRPr="00F13720">
        <w:rPr>
          <w:rFonts w:ascii="Source Serif Pro Light" w:hAnsi="Source Serif Pro Light" w:cs="Arial"/>
          <w:b/>
          <w:color w:val="B98D46"/>
          <w:sz w:val="36"/>
          <w:szCs w:val="36"/>
        </w:rPr>
        <w:t>Just The Facts</w:t>
      </w:r>
    </w:p>
    <w:p w14:paraId="3A664EA6" w14:textId="0A1617E9" w:rsidR="008A0898" w:rsidRPr="00DD550E" w:rsidRDefault="00DD550E" w:rsidP="00F13720">
      <w:pPr>
        <w:rPr>
          <w:rFonts w:ascii="Source Serif Pro Light" w:hAnsi="Source Serif Pro Light"/>
        </w:rPr>
      </w:pPr>
      <w:r>
        <w:rPr>
          <w:rFonts w:ascii="Source Serif Pro Light" w:hAnsi="Source Serif Pro Light" w:cs="Arial"/>
          <w:noProof/>
          <w:color w:val="1B2235"/>
          <w:u w:val="single"/>
        </w:rPr>
        <mc:AlternateContent>
          <mc:Choice Requires="wps">
            <w:drawing>
              <wp:anchor distT="0" distB="0" distL="114300" distR="114300" simplePos="0" relativeHeight="251659264" behindDoc="0" locked="0" layoutInCell="1" allowOverlap="1" wp14:anchorId="4019C599" wp14:editId="7E8EF1C4">
                <wp:simplePos x="0" y="0"/>
                <wp:positionH relativeFrom="column">
                  <wp:posOffset>1991763</wp:posOffset>
                </wp:positionH>
                <wp:positionV relativeFrom="paragraph">
                  <wp:posOffset>35622</wp:posOffset>
                </wp:positionV>
                <wp:extent cx="1883052" cy="163"/>
                <wp:effectExtent l="0" t="0" r="9525" b="12700"/>
                <wp:wrapNone/>
                <wp:docPr id="2" name="Straight Connector 2"/>
                <wp:cNvGraphicFramePr/>
                <a:graphic xmlns:a="http://schemas.openxmlformats.org/drawingml/2006/main">
                  <a:graphicData uri="http://schemas.microsoft.com/office/word/2010/wordprocessingShape">
                    <wps:wsp>
                      <wps:cNvCnPr/>
                      <wps:spPr>
                        <a:xfrm flipV="1">
                          <a:off x="0" y="0"/>
                          <a:ext cx="1883052" cy="163"/>
                        </a:xfrm>
                        <a:prstGeom prst="line">
                          <a:avLst/>
                        </a:prstGeom>
                        <a:ln>
                          <a:solidFill>
                            <a:srgbClr val="1B22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C37A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85pt,2.8pt" to="305.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" strokecolor="#1b2235" strokeweight=".5pt">
                <v:stroke joinstyle="miter"/>
              </v:line>
            </w:pict>
          </mc:Fallback>
        </mc:AlternateContent>
      </w:r>
    </w:p>
    <w:p w14:paraId="203BF29F" w14:textId="77777777" w:rsidR="00F13720" w:rsidRPr="00F13720" w:rsidRDefault="00F13720" w:rsidP="00F13720">
      <w:pPr>
        <w:rPr>
          <w:rFonts w:cstheme="minorHAnsi"/>
          <w:b/>
          <w:i/>
          <w:color w:val="25314B"/>
        </w:rPr>
      </w:pPr>
      <w:r w:rsidRPr="00F13720">
        <w:rPr>
          <w:rFonts w:cstheme="minorHAnsi"/>
          <w:b/>
          <w:i/>
          <w:color w:val="25314B"/>
        </w:rPr>
        <w:t>Housing affordability is a crisis. Right now, 4.6 million apartments are needed to meet surging demand.</w:t>
      </w:r>
    </w:p>
    <w:p w14:paraId="36D7829F" w14:textId="77777777" w:rsidR="00F13720" w:rsidRPr="00F13720" w:rsidRDefault="00F13720" w:rsidP="00F13720">
      <w:pPr>
        <w:rPr>
          <w:rFonts w:cstheme="minorHAnsi"/>
          <w:color w:val="25314B"/>
        </w:rPr>
      </w:pPr>
    </w:p>
    <w:p w14:paraId="04BAE4D5" w14:textId="77777777" w:rsidR="00F13720" w:rsidRPr="00F13720" w:rsidRDefault="00F13720" w:rsidP="00F13720">
      <w:pPr>
        <w:pStyle w:val="ListParagraph"/>
        <w:numPr>
          <w:ilvl w:val="0"/>
          <w:numId w:val="3"/>
        </w:numPr>
        <w:spacing w:after="0" w:line="240" w:lineRule="auto"/>
        <w:ind w:left="360"/>
        <w:rPr>
          <w:rFonts w:cstheme="minorHAnsi"/>
          <w:color w:val="25314B"/>
          <w:sz w:val="24"/>
          <w:szCs w:val="24"/>
        </w:rPr>
      </w:pPr>
      <w:r w:rsidRPr="00F13720">
        <w:rPr>
          <w:rFonts w:cstheme="minorHAnsi"/>
          <w:color w:val="000000" w:themeColor="text1"/>
          <w:sz w:val="24"/>
          <w:szCs w:val="24"/>
        </w:rPr>
        <w:t xml:space="preserve">From 2000-2015, the U.S. underproduced 7.3 million units of housing, a shortage spanning 22 states and the District of Columbia. </w:t>
      </w:r>
      <w:r w:rsidRPr="00F13720">
        <w:rPr>
          <w:rFonts w:cstheme="minorHAnsi"/>
          <w:color w:val="25314B"/>
          <w:sz w:val="24"/>
          <w:szCs w:val="24"/>
        </w:rPr>
        <w:t>(</w:t>
      </w:r>
      <w:hyperlink r:id="rId7" w:history="1">
        <w:r w:rsidRPr="00F13720">
          <w:rPr>
            <w:rStyle w:val="Hyperlink"/>
            <w:rFonts w:cstheme="minorHAnsi"/>
            <w:sz w:val="24"/>
            <w:szCs w:val="24"/>
          </w:rPr>
          <w:t>Up for Growth</w:t>
        </w:r>
      </w:hyperlink>
      <w:r w:rsidRPr="00F13720">
        <w:rPr>
          <w:rFonts w:cstheme="minorHAnsi"/>
          <w:color w:val="25314B"/>
          <w:sz w:val="24"/>
          <w:szCs w:val="24"/>
        </w:rPr>
        <w:t xml:space="preserve">) </w:t>
      </w:r>
    </w:p>
    <w:p w14:paraId="10E97568" w14:textId="77777777" w:rsidR="00F13720" w:rsidRPr="00F13720" w:rsidRDefault="00F13720" w:rsidP="00F13720">
      <w:pPr>
        <w:pStyle w:val="ListParagraph"/>
        <w:spacing w:after="0" w:line="240" w:lineRule="auto"/>
        <w:ind w:left="360"/>
        <w:rPr>
          <w:rFonts w:cstheme="minorHAnsi"/>
          <w:color w:val="25314B"/>
          <w:sz w:val="24"/>
          <w:szCs w:val="24"/>
        </w:rPr>
      </w:pPr>
    </w:p>
    <w:p w14:paraId="6749C8D5" w14:textId="77777777" w:rsidR="00F13720" w:rsidRPr="00F13720" w:rsidRDefault="00F13720" w:rsidP="00F13720">
      <w:pPr>
        <w:pStyle w:val="ListParagraph"/>
        <w:numPr>
          <w:ilvl w:val="0"/>
          <w:numId w:val="3"/>
        </w:numPr>
        <w:spacing w:after="0" w:line="240" w:lineRule="auto"/>
        <w:ind w:left="360"/>
        <w:rPr>
          <w:rFonts w:cstheme="minorHAnsi"/>
          <w:color w:val="25314B"/>
          <w:sz w:val="24"/>
          <w:szCs w:val="24"/>
        </w:rPr>
      </w:pPr>
      <w:r w:rsidRPr="00F13720">
        <w:rPr>
          <w:rFonts w:cstheme="minorHAnsi"/>
          <w:color w:val="25314B"/>
          <w:sz w:val="24"/>
          <w:szCs w:val="24"/>
        </w:rPr>
        <w:t>The U.S. needs to build an average of 328,000 new apartments every year by 2030. We’ve only hit that mark once since 1989. (</w:t>
      </w:r>
      <w:hyperlink r:id="rId8" w:history="1">
        <w:r w:rsidRPr="00F13720">
          <w:rPr>
            <w:rStyle w:val="Hyperlink"/>
            <w:rFonts w:cstheme="minorHAnsi"/>
            <w:sz w:val="24"/>
            <w:szCs w:val="24"/>
          </w:rPr>
          <w:t>NMHC/NAA</w:t>
        </w:r>
      </w:hyperlink>
      <w:r w:rsidRPr="00F13720">
        <w:rPr>
          <w:rFonts w:cstheme="minorHAnsi"/>
          <w:color w:val="25314B"/>
          <w:sz w:val="24"/>
          <w:szCs w:val="24"/>
        </w:rPr>
        <w:t>)</w:t>
      </w:r>
    </w:p>
    <w:p w14:paraId="14AA7A1C" w14:textId="77777777" w:rsidR="00F13720" w:rsidRPr="00F13720" w:rsidRDefault="00F13720" w:rsidP="00F13720">
      <w:pPr>
        <w:pStyle w:val="ListParagraph"/>
        <w:spacing w:after="0" w:line="240" w:lineRule="auto"/>
        <w:rPr>
          <w:rFonts w:cstheme="minorHAnsi"/>
          <w:color w:val="25314B"/>
          <w:sz w:val="24"/>
          <w:szCs w:val="24"/>
        </w:rPr>
      </w:pPr>
    </w:p>
    <w:p w14:paraId="6B1B38C5" w14:textId="77777777" w:rsidR="00F13720" w:rsidRPr="00F13720" w:rsidRDefault="00F13720" w:rsidP="00F13720">
      <w:pPr>
        <w:pStyle w:val="ListParagraph"/>
        <w:numPr>
          <w:ilvl w:val="0"/>
          <w:numId w:val="3"/>
        </w:numPr>
        <w:spacing w:after="0" w:line="240" w:lineRule="auto"/>
        <w:ind w:left="360"/>
        <w:rPr>
          <w:rFonts w:cstheme="minorHAnsi"/>
          <w:color w:val="25314B"/>
          <w:sz w:val="24"/>
          <w:szCs w:val="24"/>
        </w:rPr>
      </w:pPr>
      <w:r w:rsidRPr="00F13720">
        <w:rPr>
          <w:rFonts w:cstheme="minorHAnsi"/>
          <w:color w:val="25314B"/>
          <w:sz w:val="24"/>
          <w:szCs w:val="24"/>
        </w:rPr>
        <w:t xml:space="preserve">An estimated 1.8 million additional housing units were needed to meet population and jobs growth between 2007 and 2017, but just 708,000 units were added, </w:t>
      </w:r>
      <w:hyperlink r:id="rId9" w:history="1">
        <w:r w:rsidRPr="00F13720">
          <w:rPr>
            <w:rStyle w:val="Hyperlink"/>
            <w:rFonts w:cstheme="minorHAnsi"/>
            <w:sz w:val="24"/>
            <w:szCs w:val="24"/>
          </w:rPr>
          <w:t>according to</w:t>
        </w:r>
      </w:hyperlink>
      <w:r w:rsidRPr="00F13720">
        <w:rPr>
          <w:rFonts w:cstheme="minorHAnsi"/>
          <w:color w:val="25314B"/>
          <w:sz w:val="24"/>
          <w:szCs w:val="24"/>
        </w:rPr>
        <w:t xml:space="preserve"> experts at the </w:t>
      </w:r>
      <w:proofErr w:type="spellStart"/>
      <w:r w:rsidRPr="00F13720">
        <w:rPr>
          <w:rFonts w:cstheme="minorHAnsi"/>
          <w:color w:val="25314B"/>
          <w:sz w:val="24"/>
          <w:szCs w:val="24"/>
        </w:rPr>
        <w:t>Terner</w:t>
      </w:r>
      <w:proofErr w:type="spellEnd"/>
      <w:r w:rsidRPr="00F13720">
        <w:rPr>
          <w:rFonts w:cstheme="minorHAnsi"/>
          <w:color w:val="25314B"/>
          <w:sz w:val="24"/>
          <w:szCs w:val="24"/>
        </w:rPr>
        <w:t xml:space="preserve"> Center for Housing Innovation at University of California, Berkley. </w:t>
      </w:r>
    </w:p>
    <w:p w14:paraId="0E5DCB0A" w14:textId="77777777" w:rsidR="00F13720" w:rsidRPr="00F13720" w:rsidRDefault="00F13720" w:rsidP="00F13720">
      <w:pPr>
        <w:rPr>
          <w:rFonts w:cstheme="minorHAnsi"/>
          <w:color w:val="25314B"/>
        </w:rPr>
      </w:pPr>
    </w:p>
    <w:p w14:paraId="3F4300A5" w14:textId="77777777" w:rsidR="00F13720" w:rsidRPr="00F13720" w:rsidRDefault="00F13720" w:rsidP="00F13720">
      <w:pPr>
        <w:rPr>
          <w:rFonts w:cstheme="minorHAnsi"/>
          <w:b/>
          <w:i/>
          <w:color w:val="25314B"/>
        </w:rPr>
      </w:pPr>
      <w:r w:rsidRPr="00F13720">
        <w:rPr>
          <w:rFonts w:cstheme="minorHAnsi"/>
          <w:b/>
          <w:i/>
          <w:color w:val="25314B"/>
        </w:rPr>
        <w:t>The fundamental supply-demand imbalance is causing rents to rise at an above-average rate in some areas. Families are struggling and it’s holding back our economy. </w:t>
      </w:r>
    </w:p>
    <w:p w14:paraId="087C94C2" w14:textId="77777777" w:rsidR="00F13720" w:rsidRPr="00F13720" w:rsidRDefault="00F13720" w:rsidP="00F13720">
      <w:pPr>
        <w:rPr>
          <w:rFonts w:cstheme="minorHAnsi"/>
          <w:b/>
          <w:i/>
          <w:color w:val="25314B"/>
        </w:rPr>
      </w:pPr>
    </w:p>
    <w:p w14:paraId="2E638FA6" w14:textId="77777777" w:rsidR="00F13720" w:rsidRPr="00F13720" w:rsidRDefault="00F13720" w:rsidP="00F13720">
      <w:pPr>
        <w:pStyle w:val="ListParagraph"/>
        <w:numPr>
          <w:ilvl w:val="0"/>
          <w:numId w:val="4"/>
        </w:numPr>
        <w:spacing w:after="0" w:line="240" w:lineRule="auto"/>
        <w:rPr>
          <w:rFonts w:cstheme="minorHAnsi"/>
          <w:color w:val="25314B"/>
          <w:sz w:val="24"/>
          <w:szCs w:val="24"/>
        </w:rPr>
      </w:pPr>
      <w:r w:rsidRPr="00F13720">
        <w:rPr>
          <w:rFonts w:cstheme="minorHAnsi"/>
          <w:color w:val="25314B"/>
          <w:sz w:val="24"/>
          <w:szCs w:val="24"/>
        </w:rPr>
        <w:t>Over half of American households paid more than 30 percent of their income on housing costs in 2015, and the problem grows worse every year as housing supply fails to keep up with demand. (</w:t>
      </w:r>
      <w:hyperlink r:id="rId10" w:history="1">
        <w:r w:rsidRPr="00F13720">
          <w:rPr>
            <w:rStyle w:val="Hyperlink"/>
            <w:rFonts w:cstheme="minorHAnsi"/>
            <w:sz w:val="24"/>
            <w:szCs w:val="24"/>
          </w:rPr>
          <w:t>NMHC/NAA</w:t>
        </w:r>
      </w:hyperlink>
      <w:r w:rsidRPr="00F13720">
        <w:rPr>
          <w:rFonts w:cstheme="minorHAnsi"/>
          <w:color w:val="25314B"/>
          <w:sz w:val="24"/>
          <w:szCs w:val="24"/>
        </w:rPr>
        <w:t>)</w:t>
      </w:r>
    </w:p>
    <w:p w14:paraId="3C8A9D7C" w14:textId="77777777" w:rsidR="00F13720" w:rsidRPr="00F13720" w:rsidRDefault="00F13720" w:rsidP="00F13720">
      <w:pPr>
        <w:pStyle w:val="ListParagraph"/>
        <w:spacing w:after="0" w:line="240" w:lineRule="auto"/>
        <w:ind w:left="360"/>
        <w:rPr>
          <w:rFonts w:cstheme="minorHAnsi"/>
          <w:color w:val="25314B"/>
          <w:sz w:val="24"/>
          <w:szCs w:val="24"/>
        </w:rPr>
      </w:pPr>
    </w:p>
    <w:p w14:paraId="2CC87125" w14:textId="77777777" w:rsidR="00F13720" w:rsidRPr="00F13720" w:rsidRDefault="00F13720" w:rsidP="00F13720">
      <w:pPr>
        <w:pStyle w:val="ListParagraph"/>
        <w:numPr>
          <w:ilvl w:val="0"/>
          <w:numId w:val="4"/>
        </w:numPr>
        <w:spacing w:after="0" w:line="240" w:lineRule="auto"/>
        <w:rPr>
          <w:rFonts w:cstheme="minorHAnsi"/>
          <w:color w:val="25314B"/>
          <w:sz w:val="24"/>
          <w:szCs w:val="24"/>
        </w:rPr>
      </w:pPr>
      <w:r w:rsidRPr="00F13720">
        <w:rPr>
          <w:rFonts w:cstheme="minorHAnsi"/>
          <w:color w:val="25314B"/>
          <w:sz w:val="24"/>
          <w:szCs w:val="24"/>
        </w:rPr>
        <w:t>Housing is a true strain on employment. From schools and hospitals to small- to large-private businesses, employers are struggling to hire in part due to the cost and availability of housing.</w:t>
      </w:r>
    </w:p>
    <w:p w14:paraId="20A95CC7" w14:textId="77777777" w:rsidR="00F13720" w:rsidRPr="00F13720" w:rsidRDefault="00F13720" w:rsidP="00F13720">
      <w:pPr>
        <w:rPr>
          <w:rFonts w:cstheme="minorHAnsi"/>
          <w:color w:val="25314B"/>
        </w:rPr>
      </w:pPr>
    </w:p>
    <w:p w14:paraId="1C590AF2" w14:textId="77777777" w:rsidR="00F13720" w:rsidRPr="00F13720" w:rsidRDefault="00F13720" w:rsidP="00F13720">
      <w:pPr>
        <w:rPr>
          <w:rFonts w:cstheme="minorHAnsi"/>
          <w:b/>
          <w:i/>
          <w:color w:val="25314B"/>
        </w:rPr>
      </w:pPr>
      <w:r w:rsidRPr="00F13720">
        <w:rPr>
          <w:rFonts w:cstheme="minorHAnsi"/>
          <w:b/>
          <w:i/>
          <w:color w:val="25314B"/>
        </w:rPr>
        <w:t>Sound housing policies are needed to address both affordability and availability.</w:t>
      </w:r>
    </w:p>
    <w:p w14:paraId="1F05B8C9" w14:textId="77777777" w:rsidR="00F13720" w:rsidRPr="00F13720" w:rsidRDefault="00F13720" w:rsidP="00F13720">
      <w:pPr>
        <w:rPr>
          <w:rFonts w:cstheme="minorHAnsi"/>
          <w:b/>
          <w:i/>
          <w:color w:val="25314B"/>
        </w:rPr>
      </w:pPr>
    </w:p>
    <w:p w14:paraId="398ECCD0" w14:textId="77777777" w:rsidR="00F13720" w:rsidRPr="00F13720" w:rsidRDefault="00F13720" w:rsidP="00F13720">
      <w:pPr>
        <w:pStyle w:val="ListParagraph"/>
        <w:numPr>
          <w:ilvl w:val="0"/>
          <w:numId w:val="4"/>
        </w:numPr>
        <w:spacing w:after="0" w:line="240" w:lineRule="auto"/>
        <w:rPr>
          <w:rFonts w:cstheme="minorHAnsi"/>
          <w:color w:val="25314B"/>
          <w:sz w:val="24"/>
          <w:szCs w:val="24"/>
        </w:rPr>
      </w:pPr>
      <w:r w:rsidRPr="00F13720">
        <w:rPr>
          <w:rFonts w:cstheme="minorHAnsi"/>
          <w:color w:val="25314B"/>
          <w:sz w:val="24"/>
          <w:szCs w:val="24"/>
        </w:rPr>
        <w:t>In many localities, the public and private sectors are coming together to develop and implement innovative solutions to help address the housing crisis.</w:t>
      </w:r>
    </w:p>
    <w:p w14:paraId="36542094" w14:textId="77777777" w:rsidR="00F13720" w:rsidRPr="00F13720" w:rsidRDefault="00F13720" w:rsidP="00F13720">
      <w:pPr>
        <w:pStyle w:val="ListParagraph"/>
        <w:spacing w:after="0" w:line="240" w:lineRule="auto"/>
        <w:ind w:left="360"/>
        <w:rPr>
          <w:rFonts w:cstheme="minorHAnsi"/>
          <w:color w:val="25314B"/>
          <w:sz w:val="24"/>
          <w:szCs w:val="24"/>
        </w:rPr>
      </w:pPr>
    </w:p>
    <w:p w14:paraId="54729F83" w14:textId="77777777" w:rsidR="00F13720" w:rsidRPr="00F13720" w:rsidRDefault="00F13720" w:rsidP="00F13720">
      <w:pPr>
        <w:pStyle w:val="ListParagraph"/>
        <w:numPr>
          <w:ilvl w:val="1"/>
          <w:numId w:val="4"/>
        </w:numPr>
        <w:spacing w:after="0" w:line="240" w:lineRule="auto"/>
        <w:ind w:left="720"/>
        <w:rPr>
          <w:rFonts w:cstheme="minorHAnsi"/>
          <w:color w:val="25314B"/>
          <w:sz w:val="24"/>
          <w:szCs w:val="24"/>
        </w:rPr>
      </w:pPr>
      <w:r w:rsidRPr="00F13720">
        <w:rPr>
          <w:rFonts w:cstheme="minorHAnsi"/>
          <w:color w:val="25314B"/>
          <w:sz w:val="24"/>
          <w:szCs w:val="24"/>
        </w:rPr>
        <w:t xml:space="preserve">Denver recently unveiled </w:t>
      </w:r>
      <w:r w:rsidRPr="00F13720">
        <w:rPr>
          <w:rFonts w:cstheme="minorHAnsi"/>
          <w:sz w:val="24"/>
          <w:szCs w:val="24"/>
        </w:rPr>
        <w:t xml:space="preserve">a </w:t>
      </w:r>
      <w:hyperlink r:id="rId11" w:history="1">
        <w:r w:rsidRPr="00F13720">
          <w:rPr>
            <w:rStyle w:val="Hyperlink"/>
            <w:rFonts w:cstheme="minorHAnsi"/>
            <w:sz w:val="24"/>
            <w:szCs w:val="24"/>
          </w:rPr>
          <w:t>pilot program</w:t>
        </w:r>
      </w:hyperlink>
      <w:r w:rsidRPr="00F13720">
        <w:rPr>
          <w:rFonts w:cstheme="minorHAnsi"/>
          <w:color w:val="25314B"/>
          <w:sz w:val="24"/>
          <w:szCs w:val="24"/>
        </w:rPr>
        <w:t xml:space="preserve"> between the city and some employers to connect vacant market-rate apartment units with workforce families and individuals.</w:t>
      </w:r>
    </w:p>
    <w:p w14:paraId="4C5E44F2" w14:textId="77777777" w:rsidR="00F13720" w:rsidRPr="00F13720" w:rsidRDefault="00F13720" w:rsidP="00F13720">
      <w:pPr>
        <w:pStyle w:val="ListParagraph"/>
        <w:numPr>
          <w:ilvl w:val="1"/>
          <w:numId w:val="4"/>
        </w:numPr>
        <w:spacing w:after="0" w:line="240" w:lineRule="auto"/>
        <w:ind w:left="720"/>
        <w:rPr>
          <w:rFonts w:cstheme="minorHAnsi"/>
          <w:color w:val="25314B"/>
          <w:sz w:val="24"/>
          <w:szCs w:val="24"/>
        </w:rPr>
      </w:pPr>
      <w:r w:rsidRPr="00F13720">
        <w:rPr>
          <w:rFonts w:cstheme="minorHAnsi"/>
          <w:color w:val="25314B"/>
          <w:sz w:val="24"/>
          <w:szCs w:val="24"/>
        </w:rPr>
        <w:t xml:space="preserve">In Seattle, Microsoft announced it is committing more than $500 million into the local housing sector. </w:t>
      </w:r>
    </w:p>
    <w:p w14:paraId="5787E861" w14:textId="77777777" w:rsidR="00F13720" w:rsidRPr="00F13720" w:rsidRDefault="00F13720" w:rsidP="00F13720">
      <w:pPr>
        <w:pStyle w:val="ListParagraph"/>
        <w:numPr>
          <w:ilvl w:val="1"/>
          <w:numId w:val="4"/>
        </w:numPr>
        <w:spacing w:after="0" w:line="240" w:lineRule="auto"/>
        <w:ind w:left="720"/>
        <w:rPr>
          <w:rFonts w:cstheme="minorHAnsi"/>
          <w:color w:val="25314B"/>
          <w:sz w:val="24"/>
          <w:szCs w:val="24"/>
        </w:rPr>
      </w:pPr>
      <w:r w:rsidRPr="00F13720">
        <w:rPr>
          <w:rFonts w:cstheme="minorHAnsi"/>
          <w:color w:val="25314B"/>
          <w:sz w:val="24"/>
          <w:szCs w:val="24"/>
        </w:rPr>
        <w:t xml:space="preserve">In Oakland, Kaiser Permanente announced a financial commitment to the city. </w:t>
      </w:r>
    </w:p>
    <w:p w14:paraId="13EAC3BB" w14:textId="77777777" w:rsidR="00F13720" w:rsidRPr="00F13720" w:rsidRDefault="00F13720" w:rsidP="00F13720">
      <w:pPr>
        <w:pStyle w:val="ListParagraph"/>
        <w:spacing w:after="0" w:line="240" w:lineRule="auto"/>
        <w:rPr>
          <w:rFonts w:cstheme="minorHAnsi"/>
          <w:color w:val="25314B"/>
          <w:sz w:val="24"/>
          <w:szCs w:val="24"/>
        </w:rPr>
      </w:pPr>
    </w:p>
    <w:p w14:paraId="3063A564" w14:textId="77777777" w:rsidR="00F13720" w:rsidRPr="00F13720" w:rsidRDefault="00F13720" w:rsidP="00F13720">
      <w:pPr>
        <w:pStyle w:val="ListParagraph"/>
        <w:numPr>
          <w:ilvl w:val="0"/>
          <w:numId w:val="4"/>
        </w:numPr>
        <w:spacing w:after="0" w:line="240" w:lineRule="auto"/>
        <w:rPr>
          <w:rFonts w:cstheme="minorHAnsi"/>
          <w:sz w:val="24"/>
          <w:szCs w:val="24"/>
        </w:rPr>
      </w:pPr>
      <w:r w:rsidRPr="00F13720">
        <w:rPr>
          <w:rFonts w:cstheme="minorHAnsi"/>
          <w:color w:val="25314B"/>
          <w:sz w:val="24"/>
          <w:szCs w:val="24"/>
        </w:rPr>
        <w:t>Working together, the public and private sectors can bring all their tools and assets into play to implement viable solutions to meet the growing demand of the rental housing stock.</w:t>
      </w:r>
    </w:p>
    <w:p w14:paraId="78824249" w14:textId="6A4689C6" w:rsidR="00F13720" w:rsidRPr="00F13720" w:rsidRDefault="00F13720" w:rsidP="00F13720">
      <w:pPr>
        <w:rPr>
          <w:rFonts w:cstheme="minorHAnsi"/>
          <w:b/>
          <w:i/>
          <w:color w:val="25314B"/>
        </w:rPr>
      </w:pPr>
    </w:p>
    <w:p w14:paraId="7BCE8412" w14:textId="77777777" w:rsidR="00F13720" w:rsidRDefault="00F13720">
      <w:pPr>
        <w:rPr>
          <w:rFonts w:cstheme="minorHAnsi"/>
          <w:b/>
          <w:i/>
          <w:color w:val="25314B"/>
        </w:rPr>
      </w:pPr>
      <w:r>
        <w:rPr>
          <w:rFonts w:cstheme="minorHAnsi"/>
          <w:b/>
          <w:i/>
          <w:color w:val="25314B"/>
        </w:rPr>
        <w:br w:type="page"/>
      </w:r>
    </w:p>
    <w:p w14:paraId="6DC2CEAE" w14:textId="77777777" w:rsidR="00F13720" w:rsidRDefault="00F13720" w:rsidP="00F13720">
      <w:pPr>
        <w:rPr>
          <w:rFonts w:cstheme="minorHAnsi"/>
          <w:b/>
          <w:i/>
          <w:color w:val="25314B"/>
        </w:rPr>
      </w:pPr>
    </w:p>
    <w:p w14:paraId="1EF3CE81" w14:textId="3CADAC96" w:rsidR="00F13720" w:rsidRPr="00F13720" w:rsidRDefault="00F13720" w:rsidP="00F13720">
      <w:pPr>
        <w:rPr>
          <w:rFonts w:cstheme="minorHAnsi"/>
          <w:b/>
          <w:i/>
          <w:color w:val="25314B"/>
        </w:rPr>
      </w:pPr>
      <w:r w:rsidRPr="00F13720">
        <w:rPr>
          <w:rFonts w:cstheme="minorHAnsi"/>
          <w:b/>
          <w:i/>
          <w:color w:val="25314B"/>
        </w:rPr>
        <w:t>Rent control laws exacerbate shortages and represent an outdated concept that benefits the very few – and not necessarily those in greatest need – at the expense of the larger society.</w:t>
      </w:r>
    </w:p>
    <w:p w14:paraId="0A45E29D" w14:textId="77777777" w:rsidR="00F13720" w:rsidRPr="00F13720" w:rsidRDefault="00F13720" w:rsidP="00F13720">
      <w:pPr>
        <w:rPr>
          <w:rFonts w:cstheme="minorHAnsi"/>
          <w:b/>
          <w:i/>
          <w:color w:val="25314B"/>
        </w:rPr>
      </w:pPr>
    </w:p>
    <w:p w14:paraId="361359E8" w14:textId="668E25E1" w:rsidR="00F13720" w:rsidRPr="00F13720" w:rsidRDefault="00F13720" w:rsidP="00F13720">
      <w:pPr>
        <w:numPr>
          <w:ilvl w:val="0"/>
          <w:numId w:val="5"/>
        </w:numPr>
        <w:ind w:left="547" w:hanging="547"/>
        <w:rPr>
          <w:rFonts w:cstheme="minorHAnsi"/>
          <w:color w:val="25314B"/>
        </w:rPr>
      </w:pPr>
      <w:r w:rsidRPr="00F13720">
        <w:rPr>
          <w:rFonts w:cstheme="minorHAnsi"/>
          <w:color w:val="25314B"/>
        </w:rPr>
        <w:t>Currently, 36 states recognize that rent control has proven unsuccessful and have preempted local governments from adopting rent regulation laws. Only the District of Columbia, California, Oregon and a scattering of cities and towns in New York, New Jersey and Maryland have rent control or rent stabilization policies in place. (</w:t>
      </w:r>
      <w:hyperlink r:id="rId12" w:history="1">
        <w:r w:rsidRPr="00F13720">
          <w:rPr>
            <w:rStyle w:val="Hyperlink"/>
            <w:rFonts w:cstheme="minorHAnsi"/>
          </w:rPr>
          <w:t>NAA</w:t>
        </w:r>
      </w:hyperlink>
      <w:r w:rsidRPr="00F13720">
        <w:rPr>
          <w:rFonts w:cstheme="minorHAnsi"/>
          <w:color w:val="25314B"/>
        </w:rPr>
        <w:t xml:space="preserve">) </w:t>
      </w:r>
    </w:p>
    <w:p w14:paraId="1F6CEDF4" w14:textId="77777777" w:rsidR="00F13720" w:rsidRPr="00F13720" w:rsidRDefault="00F13720" w:rsidP="00F13720">
      <w:pPr>
        <w:ind w:left="547"/>
        <w:rPr>
          <w:rFonts w:cstheme="minorHAnsi"/>
          <w:color w:val="25314B"/>
        </w:rPr>
      </w:pPr>
    </w:p>
    <w:p w14:paraId="3803C8C2" w14:textId="6B9C6C2E" w:rsidR="00F13720" w:rsidRPr="00F13720" w:rsidRDefault="00F13720" w:rsidP="00F13720">
      <w:pPr>
        <w:numPr>
          <w:ilvl w:val="0"/>
          <w:numId w:val="5"/>
        </w:numPr>
        <w:ind w:left="540" w:hanging="540"/>
        <w:rPr>
          <w:rFonts w:cstheme="minorHAnsi"/>
          <w:color w:val="25314B"/>
        </w:rPr>
      </w:pPr>
      <w:r w:rsidRPr="00F13720">
        <w:rPr>
          <w:rFonts w:cstheme="minorHAnsi"/>
          <w:color w:val="25314B"/>
        </w:rPr>
        <w:t xml:space="preserve">Recognizing that rent control is a failed policy, California voters resoundingly rejected a ballot initiative in 2018 that would have broadened rent control across the state by a margin of 62% to 38%. </w:t>
      </w:r>
    </w:p>
    <w:p w14:paraId="6AEF15BF" w14:textId="77777777" w:rsidR="00F13720" w:rsidRPr="00F13720" w:rsidRDefault="00F13720" w:rsidP="00F13720">
      <w:pPr>
        <w:rPr>
          <w:rFonts w:cstheme="minorHAnsi"/>
          <w:color w:val="25314B"/>
        </w:rPr>
      </w:pPr>
    </w:p>
    <w:p w14:paraId="04399538" w14:textId="77777777" w:rsidR="00F13720" w:rsidRPr="00F13720" w:rsidRDefault="00F13720" w:rsidP="00F13720">
      <w:pPr>
        <w:numPr>
          <w:ilvl w:val="0"/>
          <w:numId w:val="5"/>
        </w:numPr>
        <w:ind w:left="540" w:hanging="540"/>
        <w:rPr>
          <w:rFonts w:cstheme="minorHAnsi"/>
          <w:color w:val="25314B"/>
        </w:rPr>
      </w:pPr>
      <w:r w:rsidRPr="00F13720">
        <w:rPr>
          <w:rFonts w:cstheme="minorHAnsi"/>
          <w:color w:val="25314B"/>
        </w:rPr>
        <w:t xml:space="preserve">Californians have seen first-hand the ramifications of rent control; San Francisco, which implemented rent control 1979, has the highest median rent in the country for a one-bedroom apartment, according to </w:t>
      </w:r>
      <w:hyperlink r:id="rId13" w:history="1">
        <w:r w:rsidRPr="00F13720">
          <w:rPr>
            <w:rStyle w:val="Hyperlink"/>
            <w:rFonts w:cstheme="minorHAnsi"/>
          </w:rPr>
          <w:t>March 2019 research</w:t>
        </w:r>
      </w:hyperlink>
      <w:r w:rsidRPr="00F13720">
        <w:rPr>
          <w:rFonts w:cstheme="minorHAnsi"/>
          <w:color w:val="25314B"/>
        </w:rPr>
        <w:t xml:space="preserve"> by </w:t>
      </w:r>
      <w:proofErr w:type="spellStart"/>
      <w:r w:rsidRPr="00F13720">
        <w:rPr>
          <w:rFonts w:cstheme="minorHAnsi"/>
          <w:color w:val="25314B"/>
        </w:rPr>
        <w:t>Zumper</w:t>
      </w:r>
      <w:proofErr w:type="spellEnd"/>
      <w:r w:rsidRPr="00F13720">
        <w:rPr>
          <w:rFonts w:cstheme="minorHAnsi"/>
          <w:color w:val="25314B"/>
        </w:rPr>
        <w:t>.</w:t>
      </w:r>
    </w:p>
    <w:p w14:paraId="301E378C" w14:textId="77777777" w:rsidR="00F13720" w:rsidRPr="00F13720" w:rsidRDefault="00F13720" w:rsidP="00F13720">
      <w:pPr>
        <w:ind w:left="540" w:hanging="540"/>
        <w:rPr>
          <w:rFonts w:cstheme="minorHAnsi"/>
          <w:color w:val="25314B"/>
        </w:rPr>
      </w:pPr>
    </w:p>
    <w:p w14:paraId="1245C42A" w14:textId="77777777" w:rsidR="00F13720" w:rsidRPr="00F13720" w:rsidRDefault="00F13720" w:rsidP="00F13720">
      <w:pPr>
        <w:numPr>
          <w:ilvl w:val="0"/>
          <w:numId w:val="5"/>
        </w:numPr>
        <w:ind w:left="540" w:hanging="540"/>
        <w:rPr>
          <w:rFonts w:cstheme="minorHAnsi"/>
          <w:color w:val="25314B"/>
        </w:rPr>
      </w:pPr>
      <w:r w:rsidRPr="00F13720">
        <w:rPr>
          <w:rFonts w:cstheme="minorHAnsi"/>
          <w:color w:val="25314B"/>
        </w:rPr>
        <w:t>While the intent of rent control laws is to assist lower-income populations, numerous studies have since shown that rent control fails to improve the availability and affordability of housing.</w:t>
      </w:r>
    </w:p>
    <w:p w14:paraId="19832B9E" w14:textId="77777777" w:rsidR="00F13720" w:rsidRPr="00F13720" w:rsidRDefault="00F13720" w:rsidP="00F13720">
      <w:pPr>
        <w:ind w:left="540" w:hanging="540"/>
        <w:rPr>
          <w:rFonts w:cstheme="minorHAnsi"/>
          <w:color w:val="25314B"/>
        </w:rPr>
      </w:pPr>
    </w:p>
    <w:p w14:paraId="582D1441" w14:textId="77777777" w:rsidR="00F13720" w:rsidRPr="00F13720" w:rsidRDefault="00F13720" w:rsidP="00F13720">
      <w:pPr>
        <w:numPr>
          <w:ilvl w:val="0"/>
          <w:numId w:val="5"/>
        </w:numPr>
        <w:ind w:left="540" w:hanging="540"/>
        <w:rPr>
          <w:rFonts w:cstheme="minorHAnsi"/>
          <w:color w:val="25314B"/>
        </w:rPr>
      </w:pPr>
      <w:r w:rsidRPr="00F13720">
        <w:rPr>
          <w:rFonts w:cstheme="minorHAnsi"/>
          <w:color w:val="25314B"/>
        </w:rPr>
        <w:t>Princeton University economist Paul Krugman concludes that, “Almost every freshman-level textbook contains a case study on rent control, using its known adverse side effects to illustrate the principles of supply and demand.” (</w:t>
      </w:r>
      <w:hyperlink r:id="rId14" w:history="1">
        <w:r w:rsidRPr="00F13720">
          <w:rPr>
            <w:rStyle w:val="Hyperlink"/>
            <w:rFonts w:cstheme="minorHAnsi"/>
          </w:rPr>
          <w:t>The New York Times</w:t>
        </w:r>
      </w:hyperlink>
      <w:r w:rsidRPr="00F13720">
        <w:rPr>
          <w:rFonts w:cstheme="minorHAnsi"/>
          <w:color w:val="25314B"/>
        </w:rPr>
        <w:t>) </w:t>
      </w:r>
    </w:p>
    <w:p w14:paraId="546EE2DF" w14:textId="77777777" w:rsidR="00F13720" w:rsidRPr="00F13720" w:rsidRDefault="00F13720" w:rsidP="00F13720">
      <w:pPr>
        <w:ind w:left="540" w:hanging="540"/>
        <w:rPr>
          <w:rFonts w:cstheme="minorHAnsi"/>
          <w:color w:val="25314B"/>
        </w:rPr>
      </w:pPr>
    </w:p>
    <w:p w14:paraId="3D025602" w14:textId="77777777" w:rsidR="00F13720" w:rsidRPr="00F13720" w:rsidRDefault="00F13720" w:rsidP="00F13720">
      <w:pPr>
        <w:numPr>
          <w:ilvl w:val="0"/>
          <w:numId w:val="5"/>
        </w:numPr>
        <w:ind w:left="540" w:hanging="540"/>
        <w:rPr>
          <w:rFonts w:cstheme="minorHAnsi"/>
          <w:color w:val="25314B"/>
        </w:rPr>
      </w:pPr>
      <w:r w:rsidRPr="00F13720">
        <w:rPr>
          <w:rFonts w:cstheme="minorHAnsi"/>
          <w:color w:val="25314B"/>
        </w:rPr>
        <w:t xml:space="preserve">A recent </w:t>
      </w:r>
      <w:hyperlink r:id="rId15" w:history="1">
        <w:r w:rsidRPr="00F13720">
          <w:rPr>
            <w:rStyle w:val="Hyperlink"/>
            <w:rFonts w:cstheme="minorHAnsi"/>
          </w:rPr>
          <w:t>Stanford University study</w:t>
        </w:r>
      </w:hyperlink>
      <w:r w:rsidRPr="00F13720">
        <w:rPr>
          <w:rFonts w:cstheme="minorHAnsi"/>
          <w:color w:val="25314B"/>
        </w:rPr>
        <w:t xml:space="preserve"> noted, “Rent control has a bad reputation among many economists, who often argue that it makes things worse.” The study found that “landlords treated by rent control reduced rental housing supply by 15%, causing a 5.1% city-wide rent increase.”</w:t>
      </w:r>
    </w:p>
    <w:p w14:paraId="1DAA7221" w14:textId="77777777" w:rsidR="00F13720" w:rsidRPr="00F13720" w:rsidRDefault="00F13720" w:rsidP="00F13720">
      <w:pPr>
        <w:rPr>
          <w:rFonts w:cstheme="minorHAnsi"/>
          <w:color w:val="25314B"/>
        </w:rPr>
      </w:pPr>
    </w:p>
    <w:p w14:paraId="2EE928F1" w14:textId="77777777" w:rsidR="00F13720" w:rsidRPr="00F13720" w:rsidRDefault="00F13720" w:rsidP="00F13720">
      <w:pPr>
        <w:numPr>
          <w:ilvl w:val="0"/>
          <w:numId w:val="5"/>
        </w:numPr>
        <w:ind w:left="540" w:hanging="540"/>
        <w:rPr>
          <w:rFonts w:cstheme="minorHAnsi"/>
          <w:color w:val="25314B"/>
        </w:rPr>
      </w:pPr>
      <w:r w:rsidRPr="00F13720">
        <w:rPr>
          <w:rFonts w:cstheme="minorHAnsi"/>
          <w:color w:val="25314B"/>
        </w:rPr>
        <w:t xml:space="preserve">“The prospect that a city may enact rent control in the future is enough to chill investment in rental property and could blow up countless pending deals for new construction. Trying to fix a housing crisis with rent control is like sending an oil tanker to put out a forest fire.” – </w:t>
      </w:r>
      <w:hyperlink r:id="rId16" w:history="1">
        <w:r w:rsidRPr="00F13720">
          <w:rPr>
            <w:rStyle w:val="Hyperlink"/>
            <w:rFonts w:cstheme="minorHAnsi"/>
          </w:rPr>
          <w:t>The Orange County Register Editorial Board</w:t>
        </w:r>
      </w:hyperlink>
      <w:r w:rsidRPr="00F13720">
        <w:rPr>
          <w:rFonts w:cstheme="minorHAnsi"/>
          <w:color w:val="25314B"/>
        </w:rPr>
        <w:t>, June 2018</w:t>
      </w:r>
    </w:p>
    <w:p w14:paraId="41D46DEF" w14:textId="77777777" w:rsidR="00F13720" w:rsidRPr="00F13720" w:rsidRDefault="00F13720" w:rsidP="00F13720">
      <w:pPr>
        <w:pStyle w:val="ListParagraph"/>
        <w:spacing w:after="0" w:line="240" w:lineRule="auto"/>
        <w:rPr>
          <w:rFonts w:cstheme="minorHAnsi"/>
          <w:color w:val="000000"/>
          <w:sz w:val="24"/>
          <w:szCs w:val="24"/>
        </w:rPr>
      </w:pPr>
    </w:p>
    <w:p w14:paraId="75EFD656" w14:textId="3FB86698" w:rsidR="00F13720" w:rsidRPr="00F13720" w:rsidRDefault="00F13720" w:rsidP="00F13720">
      <w:pPr>
        <w:numPr>
          <w:ilvl w:val="0"/>
          <w:numId w:val="5"/>
        </w:numPr>
        <w:ind w:left="540" w:hanging="540"/>
        <w:rPr>
          <w:rFonts w:cstheme="minorHAnsi"/>
          <w:color w:val="25314B"/>
        </w:rPr>
      </w:pPr>
      <w:r w:rsidRPr="00F13720">
        <w:rPr>
          <w:rFonts w:cstheme="minorHAnsi"/>
          <w:color w:val="000000"/>
        </w:rPr>
        <w:t>“</w:t>
      </w:r>
      <w:r w:rsidRPr="00F13720">
        <w:rPr>
          <w:rFonts w:cstheme="minorHAnsi"/>
          <w:color w:val="25314B"/>
        </w:rPr>
        <w:t xml:space="preserve">Rent control would seem to be the easy fix. Just cap what landlords can charge. But it’s a superficial and ultimately counterproductive fix, as the experiences of other cities have shown.” – </w:t>
      </w:r>
      <w:hyperlink r:id="rId17" w:history="1">
        <w:r w:rsidRPr="00F13720">
          <w:rPr>
            <w:rStyle w:val="Hyperlink"/>
            <w:rFonts w:cstheme="minorHAnsi"/>
          </w:rPr>
          <w:t>The Chicago Tribune Editorial Board</w:t>
        </w:r>
      </w:hyperlink>
      <w:r w:rsidRPr="00F13720">
        <w:rPr>
          <w:rFonts w:cstheme="minorHAnsi"/>
          <w:color w:val="25314B"/>
        </w:rPr>
        <w:t>, March 2019</w:t>
      </w:r>
    </w:p>
    <w:p w14:paraId="1C0F0BFF" w14:textId="77777777" w:rsidR="00F13720" w:rsidRPr="00F13720" w:rsidRDefault="00F13720" w:rsidP="00F13720">
      <w:pPr>
        <w:ind w:left="540"/>
        <w:rPr>
          <w:rFonts w:cstheme="minorHAnsi"/>
          <w:color w:val="25314B"/>
        </w:rPr>
      </w:pPr>
    </w:p>
    <w:p w14:paraId="2F205782" w14:textId="75B986A4" w:rsidR="00F13720" w:rsidRPr="00F13720" w:rsidRDefault="00F13720" w:rsidP="00F13720">
      <w:pPr>
        <w:numPr>
          <w:ilvl w:val="0"/>
          <w:numId w:val="5"/>
        </w:numPr>
        <w:ind w:left="540" w:hanging="540"/>
        <w:rPr>
          <w:rFonts w:cstheme="minorHAnsi"/>
          <w:color w:val="25314B"/>
        </w:rPr>
      </w:pPr>
      <w:r w:rsidRPr="00F13720">
        <w:rPr>
          <w:rFonts w:cstheme="minorHAnsi"/>
          <w:color w:val="25314B"/>
        </w:rPr>
        <w:t xml:space="preserve">“Rent-control laws can be good for some privileged beneficiaries, who are often not the people who really need help. But they are bad for many others.” – </w:t>
      </w:r>
      <w:hyperlink r:id="rId18" w:history="1">
        <w:r w:rsidRPr="00F13720">
          <w:rPr>
            <w:rStyle w:val="Hyperlink"/>
            <w:rFonts w:cstheme="minorHAnsi"/>
          </w:rPr>
          <w:t>The Washington Post Editorial Board</w:t>
        </w:r>
      </w:hyperlink>
      <w:r w:rsidRPr="00F13720">
        <w:rPr>
          <w:rFonts w:cstheme="minorHAnsi"/>
          <w:color w:val="25314B"/>
        </w:rPr>
        <w:t>, September 2019</w:t>
      </w:r>
      <w:bookmarkStart w:id="0" w:name="_GoBack"/>
      <w:bookmarkEnd w:id="0"/>
    </w:p>
    <w:sectPr w:rsidR="00F13720" w:rsidRPr="00F13720" w:rsidSect="00C54777">
      <w:headerReference w:type="default" r:id="rId19"/>
      <w:footerReference w:type="even" r:id="rId20"/>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3A243" w14:textId="77777777" w:rsidR="0093620D" w:rsidRDefault="0093620D" w:rsidP="00DD550E">
      <w:r>
        <w:separator/>
      </w:r>
    </w:p>
  </w:endnote>
  <w:endnote w:type="continuationSeparator" w:id="0">
    <w:p w14:paraId="1BD08AB9" w14:textId="77777777" w:rsidR="0093620D" w:rsidRDefault="0093620D" w:rsidP="00DD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ource Serif Pro Light">
    <w:altName w:val="Cambria"/>
    <w:panose1 w:val="020B0604020202020204"/>
    <w:charset w:val="00"/>
    <w:family w:val="roman"/>
    <w:notTrueType/>
    <w:pitch w:val="variable"/>
    <w:sig w:usb0="20000287" w:usb1="02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erif Pro">
    <w:altName w:val="Cambria"/>
    <w:panose1 w:val="020B0604020202020204"/>
    <w:charset w:val="00"/>
    <w:family w:val="roman"/>
    <w:notTrueType/>
    <w:pitch w:val="variable"/>
    <w:sig w:usb0="20000287" w:usb1="02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2461248"/>
      <w:docPartObj>
        <w:docPartGallery w:val="Page Numbers (Bottom of Page)"/>
        <w:docPartUnique/>
      </w:docPartObj>
    </w:sdtPr>
    <w:sdtContent>
      <w:p w14:paraId="35E3B86B" w14:textId="713253B0" w:rsidR="00F13720" w:rsidRDefault="00F13720" w:rsidP="004B6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57805A" w14:textId="77777777" w:rsidR="00F13720" w:rsidRDefault="00F13720" w:rsidP="00F137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5528406"/>
      <w:docPartObj>
        <w:docPartGallery w:val="Page Numbers (Bottom of Page)"/>
        <w:docPartUnique/>
      </w:docPartObj>
    </w:sdtPr>
    <w:sdtContent>
      <w:p w14:paraId="0C9801CF" w14:textId="2339662A" w:rsidR="00F13720" w:rsidRDefault="00F13720" w:rsidP="004B6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65E1E6" w14:textId="77777777" w:rsidR="00F13720" w:rsidRDefault="00F13720" w:rsidP="00F137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C30D4" w14:textId="77777777" w:rsidR="0093620D" w:rsidRDefault="0093620D" w:rsidP="00DD550E">
      <w:r>
        <w:separator/>
      </w:r>
    </w:p>
  </w:footnote>
  <w:footnote w:type="continuationSeparator" w:id="0">
    <w:p w14:paraId="497137BC" w14:textId="77777777" w:rsidR="0093620D" w:rsidRDefault="0093620D" w:rsidP="00DD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C5EA" w14:textId="01D7D53E" w:rsidR="003824DE" w:rsidRDefault="003824DE">
    <w:pPr>
      <w:pStyle w:val="Header"/>
    </w:pPr>
    <w:r>
      <w:rPr>
        <w:rFonts w:ascii="Source Serif Pro" w:hAnsi="Source Serif Pro" w:cs="Arial"/>
        <w:b/>
        <w:noProof/>
        <w:color w:val="25314B"/>
      </w:rPr>
      <w:drawing>
        <wp:inline distT="0" distB="0" distL="0" distR="0" wp14:anchorId="5ED568E7" wp14:editId="3C263D36">
          <wp:extent cx="669956" cy="50404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t_logo_blue.eps"/>
                  <pic:cNvPicPr/>
                </pic:nvPicPr>
                <pic:blipFill>
                  <a:blip r:embed="rId1">
                    <a:extLst>
                      <a:ext uri="{28A0092B-C50C-407E-A947-70E740481C1C}">
                        <a14:useLocalDpi xmlns:a14="http://schemas.microsoft.com/office/drawing/2010/main" val="0"/>
                      </a:ext>
                    </a:extLst>
                  </a:blip>
                  <a:stretch>
                    <a:fillRect/>
                  </a:stretch>
                </pic:blipFill>
                <pic:spPr>
                  <a:xfrm>
                    <a:off x="0" y="0"/>
                    <a:ext cx="676603" cy="5090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912C" w14:textId="27F308C2" w:rsidR="00C54777" w:rsidRDefault="00C54777">
    <w:pPr>
      <w:pStyle w:val="Header"/>
    </w:pPr>
    <w:r>
      <w:rPr>
        <w:rFonts w:ascii="Source Serif Pro" w:hAnsi="Source Serif Pro" w:cs="Arial"/>
        <w:b/>
        <w:noProof/>
        <w:color w:val="25314B"/>
      </w:rPr>
      <w:drawing>
        <wp:inline distT="0" distB="0" distL="0" distR="0" wp14:anchorId="31A3CB2D" wp14:editId="73B648DF">
          <wp:extent cx="669956" cy="504042"/>
          <wp:effectExtent l="0" t="0" r="317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t_logo_blue.eps"/>
                  <pic:cNvPicPr/>
                </pic:nvPicPr>
                <pic:blipFill>
                  <a:blip r:embed="rId1">
                    <a:extLst>
                      <a:ext uri="{28A0092B-C50C-407E-A947-70E740481C1C}">
                        <a14:useLocalDpi xmlns:a14="http://schemas.microsoft.com/office/drawing/2010/main" val="0"/>
                      </a:ext>
                    </a:extLst>
                  </a:blip>
                  <a:stretch>
                    <a:fillRect/>
                  </a:stretch>
                </pic:blipFill>
                <pic:spPr>
                  <a:xfrm>
                    <a:off x="0" y="0"/>
                    <a:ext cx="676603" cy="509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6B7"/>
    <w:multiLevelType w:val="hybridMultilevel"/>
    <w:tmpl w:val="52BE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69BD"/>
    <w:multiLevelType w:val="hybridMultilevel"/>
    <w:tmpl w:val="772C57FC"/>
    <w:lvl w:ilvl="0" w:tplc="E1B20156">
      <w:start w:val="1"/>
      <w:numFmt w:val="bullet"/>
      <w:lvlText w:val=""/>
      <w:lvlJc w:val="left"/>
      <w:pPr>
        <w:ind w:left="360" w:hanging="360"/>
      </w:pPr>
      <w:rPr>
        <w:rFonts w:ascii="Symbol" w:hAnsi="Symbol" w:hint="default"/>
        <w:color w:val="B98D46"/>
      </w:rPr>
    </w:lvl>
    <w:lvl w:ilvl="1" w:tplc="EBCA369C">
      <w:start w:val="1"/>
      <w:numFmt w:val="bullet"/>
      <w:lvlText w:val=""/>
      <w:lvlJc w:val="left"/>
      <w:pPr>
        <w:ind w:left="1440" w:hanging="360"/>
      </w:pPr>
      <w:rPr>
        <w:rFonts w:ascii="Wingdings" w:hAnsi="Wingdings" w:hint="default"/>
        <w:color w:val="B98D4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DD0E52"/>
    <w:multiLevelType w:val="hybridMultilevel"/>
    <w:tmpl w:val="0A025DB6"/>
    <w:lvl w:ilvl="0" w:tplc="25B6FB4A">
      <w:start w:val="1"/>
      <w:numFmt w:val="bullet"/>
      <w:lvlText w:val=""/>
      <w:lvlJc w:val="left"/>
      <w:pPr>
        <w:ind w:left="720" w:hanging="360"/>
      </w:pPr>
      <w:rPr>
        <w:rFonts w:ascii="Symbol" w:hAnsi="Symbol" w:hint="default"/>
        <w:color w:val="B98D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922066"/>
    <w:multiLevelType w:val="hybridMultilevel"/>
    <w:tmpl w:val="53C4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186281"/>
    <w:multiLevelType w:val="hybridMultilevel"/>
    <w:tmpl w:val="5630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D5ABE"/>
    <w:multiLevelType w:val="hybridMultilevel"/>
    <w:tmpl w:val="028630A0"/>
    <w:lvl w:ilvl="0" w:tplc="25B6FB4A">
      <w:start w:val="1"/>
      <w:numFmt w:val="bullet"/>
      <w:lvlText w:val=""/>
      <w:lvlJc w:val="left"/>
      <w:pPr>
        <w:ind w:left="720" w:hanging="360"/>
      </w:pPr>
      <w:rPr>
        <w:rFonts w:ascii="Symbol" w:hAnsi="Symbol" w:hint="default"/>
        <w:color w:val="B98D46"/>
      </w:rPr>
    </w:lvl>
    <w:lvl w:ilvl="1" w:tplc="04090005">
      <w:start w:val="1"/>
      <w:numFmt w:val="bullet"/>
      <w:lvlText w:val=""/>
      <w:lvlJc w:val="left"/>
      <w:pPr>
        <w:ind w:left="1440" w:hanging="360"/>
      </w:pPr>
      <w:rPr>
        <w:rFonts w:ascii="Wingdings" w:hAnsi="Wingdings" w:hint="default"/>
        <w:color w:val="B98D4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D9"/>
    <w:rsid w:val="00022A51"/>
    <w:rsid w:val="00027F25"/>
    <w:rsid w:val="00056D94"/>
    <w:rsid w:val="0006565C"/>
    <w:rsid w:val="000A4FB4"/>
    <w:rsid w:val="000C66CB"/>
    <w:rsid w:val="000D51A2"/>
    <w:rsid w:val="00123D0F"/>
    <w:rsid w:val="00230FE2"/>
    <w:rsid w:val="002C4194"/>
    <w:rsid w:val="003104E2"/>
    <w:rsid w:val="00312C63"/>
    <w:rsid w:val="00364BC0"/>
    <w:rsid w:val="003824DE"/>
    <w:rsid w:val="003D5B40"/>
    <w:rsid w:val="003D7860"/>
    <w:rsid w:val="00421B44"/>
    <w:rsid w:val="004428CE"/>
    <w:rsid w:val="00444F92"/>
    <w:rsid w:val="00451BE7"/>
    <w:rsid w:val="00483628"/>
    <w:rsid w:val="004A4EBB"/>
    <w:rsid w:val="004C1E0F"/>
    <w:rsid w:val="004D473F"/>
    <w:rsid w:val="00505BC6"/>
    <w:rsid w:val="00531927"/>
    <w:rsid w:val="00542AB5"/>
    <w:rsid w:val="00555EB3"/>
    <w:rsid w:val="00593D48"/>
    <w:rsid w:val="00662C3A"/>
    <w:rsid w:val="00681626"/>
    <w:rsid w:val="00693763"/>
    <w:rsid w:val="00733D43"/>
    <w:rsid w:val="0079741B"/>
    <w:rsid w:val="007D64A2"/>
    <w:rsid w:val="007F1FC6"/>
    <w:rsid w:val="008A0898"/>
    <w:rsid w:val="008F04B2"/>
    <w:rsid w:val="0093620D"/>
    <w:rsid w:val="00952216"/>
    <w:rsid w:val="009F2BAE"/>
    <w:rsid w:val="00A57A4A"/>
    <w:rsid w:val="00A70E0F"/>
    <w:rsid w:val="00B40A0C"/>
    <w:rsid w:val="00BD0AD9"/>
    <w:rsid w:val="00C5069E"/>
    <w:rsid w:val="00C54777"/>
    <w:rsid w:val="00C65CBE"/>
    <w:rsid w:val="00D15D8D"/>
    <w:rsid w:val="00D72FB8"/>
    <w:rsid w:val="00DD550E"/>
    <w:rsid w:val="00DF4847"/>
    <w:rsid w:val="00E7423D"/>
    <w:rsid w:val="00EE3FE9"/>
    <w:rsid w:val="00EF0486"/>
    <w:rsid w:val="00F13720"/>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85C3"/>
  <w14:defaultImageDpi w14:val="32767"/>
  <w15:chartTrackingRefBased/>
  <w15:docId w15:val="{47F6A934-DC7C-EB4E-896A-7F79EAFA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0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AD9"/>
    <w:rPr>
      <w:color w:val="0563C1" w:themeColor="hyperlink"/>
      <w:u w:val="single"/>
    </w:rPr>
  </w:style>
  <w:style w:type="character" w:styleId="UnresolvedMention">
    <w:name w:val="Unresolved Mention"/>
    <w:basedOn w:val="DefaultParagraphFont"/>
    <w:uiPriority w:val="99"/>
    <w:rsid w:val="00BD0AD9"/>
    <w:rPr>
      <w:color w:val="605E5C"/>
      <w:shd w:val="clear" w:color="auto" w:fill="E1DFDD"/>
    </w:rPr>
  </w:style>
  <w:style w:type="paragraph" w:styleId="BalloonText">
    <w:name w:val="Balloon Text"/>
    <w:basedOn w:val="Normal"/>
    <w:link w:val="BalloonTextChar"/>
    <w:uiPriority w:val="99"/>
    <w:semiHidden/>
    <w:unhideWhenUsed/>
    <w:rsid w:val="008F04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04B2"/>
    <w:rPr>
      <w:rFonts w:ascii="Times New Roman" w:hAnsi="Times New Roman" w:cs="Times New Roman"/>
      <w:sz w:val="18"/>
      <w:szCs w:val="18"/>
    </w:rPr>
  </w:style>
  <w:style w:type="character" w:customStyle="1" w:styleId="apple-converted-space">
    <w:name w:val="apple-converted-space"/>
    <w:basedOn w:val="DefaultParagraphFont"/>
    <w:rsid w:val="008A0898"/>
  </w:style>
  <w:style w:type="paragraph" w:styleId="ListParagraph">
    <w:name w:val="List Paragraph"/>
    <w:basedOn w:val="Normal"/>
    <w:uiPriority w:val="99"/>
    <w:qFormat/>
    <w:rsid w:val="008A0898"/>
    <w:pPr>
      <w:spacing w:after="200" w:line="276" w:lineRule="auto"/>
      <w:ind w:left="720"/>
      <w:contextualSpacing/>
    </w:pPr>
    <w:rPr>
      <w:sz w:val="22"/>
      <w:szCs w:val="22"/>
    </w:rPr>
  </w:style>
  <w:style w:type="paragraph" w:styleId="Header">
    <w:name w:val="header"/>
    <w:basedOn w:val="Normal"/>
    <w:link w:val="HeaderChar"/>
    <w:uiPriority w:val="99"/>
    <w:unhideWhenUsed/>
    <w:rsid w:val="00DD550E"/>
    <w:pPr>
      <w:tabs>
        <w:tab w:val="center" w:pos="4680"/>
        <w:tab w:val="right" w:pos="9360"/>
      </w:tabs>
    </w:pPr>
  </w:style>
  <w:style w:type="character" w:customStyle="1" w:styleId="HeaderChar">
    <w:name w:val="Header Char"/>
    <w:basedOn w:val="DefaultParagraphFont"/>
    <w:link w:val="Header"/>
    <w:uiPriority w:val="99"/>
    <w:rsid w:val="00DD550E"/>
  </w:style>
  <w:style w:type="paragraph" w:styleId="Footer">
    <w:name w:val="footer"/>
    <w:basedOn w:val="Normal"/>
    <w:link w:val="FooterChar"/>
    <w:uiPriority w:val="99"/>
    <w:unhideWhenUsed/>
    <w:rsid w:val="00DD550E"/>
    <w:pPr>
      <w:tabs>
        <w:tab w:val="center" w:pos="4680"/>
        <w:tab w:val="right" w:pos="9360"/>
      </w:tabs>
    </w:pPr>
  </w:style>
  <w:style w:type="character" w:customStyle="1" w:styleId="FooterChar">
    <w:name w:val="Footer Char"/>
    <w:basedOn w:val="DefaultParagraphFont"/>
    <w:link w:val="Footer"/>
    <w:uiPriority w:val="99"/>
    <w:rsid w:val="00DD550E"/>
  </w:style>
  <w:style w:type="character" w:styleId="FollowedHyperlink">
    <w:name w:val="FollowedHyperlink"/>
    <w:basedOn w:val="DefaultParagraphFont"/>
    <w:uiPriority w:val="99"/>
    <w:semiHidden/>
    <w:unhideWhenUsed/>
    <w:rsid w:val="00DD550E"/>
    <w:rPr>
      <w:color w:val="954F72" w:themeColor="followedHyperlink"/>
      <w:u w:val="single"/>
    </w:rPr>
  </w:style>
  <w:style w:type="character" w:styleId="CommentReference">
    <w:name w:val="annotation reference"/>
    <w:basedOn w:val="DefaultParagraphFont"/>
    <w:uiPriority w:val="99"/>
    <w:semiHidden/>
    <w:unhideWhenUsed/>
    <w:rsid w:val="00022A51"/>
    <w:rPr>
      <w:sz w:val="16"/>
      <w:szCs w:val="16"/>
    </w:rPr>
  </w:style>
  <w:style w:type="paragraph" w:styleId="CommentText">
    <w:name w:val="annotation text"/>
    <w:basedOn w:val="Normal"/>
    <w:link w:val="CommentTextChar"/>
    <w:uiPriority w:val="99"/>
    <w:semiHidden/>
    <w:unhideWhenUsed/>
    <w:rsid w:val="00022A51"/>
    <w:rPr>
      <w:sz w:val="20"/>
      <w:szCs w:val="20"/>
    </w:rPr>
  </w:style>
  <w:style w:type="character" w:customStyle="1" w:styleId="CommentTextChar">
    <w:name w:val="Comment Text Char"/>
    <w:basedOn w:val="DefaultParagraphFont"/>
    <w:link w:val="CommentText"/>
    <w:uiPriority w:val="99"/>
    <w:semiHidden/>
    <w:rsid w:val="00022A51"/>
    <w:rPr>
      <w:sz w:val="20"/>
      <w:szCs w:val="20"/>
    </w:rPr>
  </w:style>
  <w:style w:type="paragraph" w:styleId="CommentSubject">
    <w:name w:val="annotation subject"/>
    <w:basedOn w:val="CommentText"/>
    <w:next w:val="CommentText"/>
    <w:link w:val="CommentSubjectChar"/>
    <w:uiPriority w:val="99"/>
    <w:semiHidden/>
    <w:unhideWhenUsed/>
    <w:rsid w:val="00022A51"/>
    <w:rPr>
      <w:b/>
      <w:bCs/>
    </w:rPr>
  </w:style>
  <w:style w:type="character" w:customStyle="1" w:styleId="CommentSubjectChar">
    <w:name w:val="Comment Subject Char"/>
    <w:basedOn w:val="CommentTextChar"/>
    <w:link w:val="CommentSubject"/>
    <w:uiPriority w:val="99"/>
    <w:semiHidden/>
    <w:rsid w:val="00022A51"/>
    <w:rPr>
      <w:b/>
      <w:bCs/>
      <w:sz w:val="20"/>
      <w:szCs w:val="20"/>
    </w:rPr>
  </w:style>
  <w:style w:type="paragraph" w:styleId="Revision">
    <w:name w:val="Revision"/>
    <w:hidden/>
    <w:uiPriority w:val="99"/>
    <w:semiHidden/>
    <w:rsid w:val="00483628"/>
  </w:style>
  <w:style w:type="paragraph" w:styleId="NormalWeb">
    <w:name w:val="Normal (Web)"/>
    <w:basedOn w:val="Normal"/>
    <w:uiPriority w:val="99"/>
    <w:semiHidden/>
    <w:unhideWhenUsed/>
    <w:rsid w:val="00A57A4A"/>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F1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24950">
      <w:bodyDiv w:val="1"/>
      <w:marLeft w:val="0"/>
      <w:marRight w:val="0"/>
      <w:marTop w:val="0"/>
      <w:marBottom w:val="0"/>
      <w:divBdr>
        <w:top w:val="none" w:sz="0" w:space="0" w:color="auto"/>
        <w:left w:val="none" w:sz="0" w:space="0" w:color="auto"/>
        <w:bottom w:val="none" w:sz="0" w:space="0" w:color="auto"/>
        <w:right w:val="none" w:sz="0" w:space="0" w:color="auto"/>
      </w:divBdr>
    </w:div>
    <w:div w:id="586037243">
      <w:bodyDiv w:val="1"/>
      <w:marLeft w:val="0"/>
      <w:marRight w:val="0"/>
      <w:marTop w:val="0"/>
      <w:marBottom w:val="0"/>
      <w:divBdr>
        <w:top w:val="none" w:sz="0" w:space="0" w:color="auto"/>
        <w:left w:val="none" w:sz="0" w:space="0" w:color="auto"/>
        <w:bottom w:val="none" w:sz="0" w:space="0" w:color="auto"/>
        <w:right w:val="none" w:sz="0" w:space="0" w:color="auto"/>
      </w:divBdr>
    </w:div>
    <w:div w:id="904877754">
      <w:bodyDiv w:val="1"/>
      <w:marLeft w:val="0"/>
      <w:marRight w:val="0"/>
      <w:marTop w:val="0"/>
      <w:marBottom w:val="0"/>
      <w:divBdr>
        <w:top w:val="none" w:sz="0" w:space="0" w:color="auto"/>
        <w:left w:val="none" w:sz="0" w:space="0" w:color="auto"/>
        <w:bottom w:val="none" w:sz="0" w:space="0" w:color="auto"/>
        <w:right w:val="none" w:sz="0" w:space="0" w:color="auto"/>
      </w:divBdr>
    </w:div>
    <w:div w:id="1066493147">
      <w:bodyDiv w:val="1"/>
      <w:marLeft w:val="0"/>
      <w:marRight w:val="0"/>
      <w:marTop w:val="0"/>
      <w:marBottom w:val="0"/>
      <w:divBdr>
        <w:top w:val="none" w:sz="0" w:space="0" w:color="auto"/>
        <w:left w:val="none" w:sz="0" w:space="0" w:color="auto"/>
        <w:bottom w:val="none" w:sz="0" w:space="0" w:color="auto"/>
        <w:right w:val="none" w:sz="0" w:space="0" w:color="auto"/>
      </w:divBdr>
    </w:div>
    <w:div w:id="1745375924">
      <w:bodyDiv w:val="1"/>
      <w:marLeft w:val="0"/>
      <w:marRight w:val="0"/>
      <w:marTop w:val="0"/>
      <w:marBottom w:val="0"/>
      <w:divBdr>
        <w:top w:val="none" w:sz="0" w:space="0" w:color="auto"/>
        <w:left w:val="none" w:sz="0" w:space="0" w:color="auto"/>
        <w:bottom w:val="none" w:sz="0" w:space="0" w:color="auto"/>
        <w:right w:val="none" w:sz="0" w:space="0" w:color="auto"/>
      </w:divBdr>
    </w:div>
    <w:div w:id="2121953628">
      <w:bodyDiv w:val="1"/>
      <w:marLeft w:val="0"/>
      <w:marRight w:val="0"/>
      <w:marTop w:val="0"/>
      <w:marBottom w:val="0"/>
      <w:divBdr>
        <w:top w:val="none" w:sz="0" w:space="0" w:color="auto"/>
        <w:left w:val="none" w:sz="0" w:space="0" w:color="auto"/>
        <w:bottom w:val="none" w:sz="0" w:space="0" w:color="auto"/>
        <w:right w:val="none" w:sz="0" w:space="0" w:color="auto"/>
      </w:divBdr>
      <w:divsChild>
        <w:div w:id="1952974992">
          <w:marLeft w:val="0"/>
          <w:marRight w:val="0"/>
          <w:marTop w:val="0"/>
          <w:marBottom w:val="0"/>
          <w:divBdr>
            <w:top w:val="none" w:sz="0" w:space="0" w:color="auto"/>
            <w:left w:val="none" w:sz="0" w:space="0" w:color="auto"/>
            <w:bottom w:val="none" w:sz="0" w:space="0" w:color="auto"/>
            <w:right w:val="none" w:sz="0" w:space="0" w:color="auto"/>
          </w:divBdr>
          <w:divsChild>
            <w:div w:id="1974629277">
              <w:marLeft w:val="0"/>
              <w:marRight w:val="0"/>
              <w:marTop w:val="0"/>
              <w:marBottom w:val="0"/>
              <w:divBdr>
                <w:top w:val="none" w:sz="0" w:space="0" w:color="auto"/>
                <w:left w:val="none" w:sz="0" w:space="0" w:color="auto"/>
                <w:bottom w:val="none" w:sz="0" w:space="0" w:color="auto"/>
                <w:right w:val="none" w:sz="0" w:space="0" w:color="auto"/>
              </w:divBdr>
              <w:divsChild>
                <w:div w:id="20940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hc.org/contentassets/1cc24b9e711e4713a6c014c88777c48c/affordable-housing-2018-08.pdf" TargetMode="External"/><Relationship Id="rId13" Type="http://schemas.openxmlformats.org/officeDocument/2006/relationships/hyperlink" Target="https://www.zumper.com/blog/2019/02/zumper-national-rent-report-march-2019/" TargetMode="External"/><Relationship Id="rId18" Type="http://schemas.openxmlformats.org/officeDocument/2006/relationships/hyperlink" Target="https://www.washingtonpost.com/opinions/rent-control-is-back-and-thats-bad/2019/09/21/31abb05c-dbdb-11e9-a688-303693fb4b0b_story.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upforgrowth.org/sites/default/files/2018-09/housing_underproduction.pdf" TargetMode="External"/><Relationship Id="rId12" Type="http://schemas.openxmlformats.org/officeDocument/2006/relationships/hyperlink" Target="https://www.naahq.org/advocacy/policy-issues/rent-control" TargetMode="External"/><Relationship Id="rId17" Type="http://schemas.openxmlformats.org/officeDocument/2006/relationships/hyperlink" Target="https://chicago.suntimes.com/opinion/rent-control-ban-illinois-legislation/" TargetMode="External"/><Relationship Id="rId2" Type="http://schemas.openxmlformats.org/officeDocument/2006/relationships/styles" Target="styles.xml"/><Relationship Id="rId16" Type="http://schemas.openxmlformats.org/officeDocument/2006/relationships/hyperlink" Target="https://www.ocregister.com/2018/06/01/rent-control-is-no-solution-to-our-housing-crisi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vedenver.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sb.stanford.edu/faculty-research/working-papers/effects-rent-control-expansion-tenants-landlords-inequality-evidence" TargetMode="External"/><Relationship Id="rId23" Type="http://schemas.openxmlformats.org/officeDocument/2006/relationships/fontTable" Target="fontTable.xml"/><Relationship Id="rId10" Type="http://schemas.openxmlformats.org/officeDocument/2006/relationships/hyperlink" Target="https://www.nmhc.org/contentassets/1cc24b9e711e4713a6c014c88777c48c/affordable-housing-2018-08.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lifornialanduse.org/index.html" TargetMode="External"/><Relationship Id="rId14" Type="http://schemas.openxmlformats.org/officeDocument/2006/relationships/hyperlink" Target="https://www.lisasturtevant.com/single-post/2018/06/20/If-Not-Rent-Control-Then-Wha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Rollison</dc:creator>
  <cp:keywords/>
  <dc:description/>
  <cp:lastModifiedBy>Ralph Posner</cp:lastModifiedBy>
  <cp:revision>2</cp:revision>
  <dcterms:created xsi:type="dcterms:W3CDTF">2019-10-21T15:07:00Z</dcterms:created>
  <dcterms:modified xsi:type="dcterms:W3CDTF">2019-10-21T15:07:00Z</dcterms:modified>
</cp:coreProperties>
</file>